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  <w:t>Dear Senator Argall,</w:t>
        <w:br/>
        <w:br/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  <w:t xml:space="preserve">I am a resident of Penn Lake Park and have been a strong supporter of the efforts to prevent the draining of Penn Lake. </w:t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  <w:t>The Borough Council and residents were made aware of the risk that the lake would be drained back in 2020. As a community we pulled together, participated in meetings and forums, authorized the expenditures to propose a repair and ultimately repair the dam. We even voted to raise taxes to pay for the repairs.</w:t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  <w:t xml:space="preserve">I am proud of my community’s effort, and I was happy to hear that the Borough had completed their efforts as had our engineers and they submitted for a permit on time. </w:t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  <w:t>I am disappointed to hear at our March Borough Council meeting that we have not received a response from the authorities at the DEP. The permit request was submitted at the end of 2023. I would like to know how you can help to move this forward.</w:t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  <w:t>Regards,</w:t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</w:r>
    </w:p>
    <w:p>
      <w:pPr>
        <w:pStyle w:val="Normal1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  <w:t xml:space="preserve"> 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161</Words>
  <Characters>714</Characters>
  <CharactersWithSpaces>874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2024-04-11T13:41:49Z</dcterms:modified>
  <cp:revision>1</cp:revision>
  <dc:subject/>
  <dc:title/>
</cp:coreProperties>
</file>